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A1" w:rsidRPr="00140876" w:rsidRDefault="005A25A1" w:rsidP="00F80E41">
      <w:pPr>
        <w:spacing w:line="276" w:lineRule="auto"/>
        <w:jc w:val="center"/>
        <w:rPr>
          <w:rFonts w:cstheme="minorHAnsi"/>
          <w:b/>
          <w:sz w:val="26"/>
          <w:szCs w:val="26"/>
          <w:lang w:val="en-GB"/>
        </w:rPr>
      </w:pPr>
      <w:r w:rsidRPr="00140876">
        <w:rPr>
          <w:rFonts w:cstheme="minorHAnsi"/>
          <w:b/>
          <w:sz w:val="26"/>
          <w:szCs w:val="26"/>
          <w:lang w:val="en-GB"/>
        </w:rPr>
        <w:t xml:space="preserve">COOPERATION AGREEMENT BETWEEN </w:t>
      </w:r>
    </w:p>
    <w:p w:rsidR="005A25A1" w:rsidRPr="00140876" w:rsidRDefault="00834975" w:rsidP="00F80E41">
      <w:pPr>
        <w:spacing w:line="276" w:lineRule="auto"/>
        <w:jc w:val="center"/>
        <w:rPr>
          <w:rFonts w:cstheme="minorHAnsi"/>
          <w:b/>
          <w:sz w:val="26"/>
          <w:szCs w:val="26"/>
          <w:lang w:val="en-GB"/>
        </w:rPr>
      </w:pPr>
      <w:r w:rsidRPr="00140876">
        <w:rPr>
          <w:rFonts w:cstheme="minorHAnsi"/>
          <w:b/>
          <w:sz w:val="26"/>
          <w:szCs w:val="26"/>
          <w:lang w:val="en-GB"/>
        </w:rPr>
        <w:t>The Chief Pharmaceutical Inspectorate</w:t>
      </w:r>
      <w:r w:rsidR="00410279" w:rsidRPr="00140876">
        <w:rPr>
          <w:rFonts w:cstheme="minorHAnsi"/>
          <w:b/>
          <w:sz w:val="26"/>
          <w:szCs w:val="26"/>
          <w:lang w:val="en-GB"/>
        </w:rPr>
        <w:t xml:space="preserve"> </w:t>
      </w:r>
    </w:p>
    <w:p w:rsidR="005A25A1" w:rsidRPr="00140876" w:rsidRDefault="00410279" w:rsidP="00F80E41">
      <w:pPr>
        <w:spacing w:line="276" w:lineRule="auto"/>
        <w:jc w:val="center"/>
        <w:rPr>
          <w:rFonts w:cstheme="minorHAnsi"/>
          <w:b/>
          <w:sz w:val="26"/>
          <w:szCs w:val="26"/>
          <w:lang w:val="en-GB"/>
        </w:rPr>
      </w:pPr>
      <w:r w:rsidRPr="00140876">
        <w:rPr>
          <w:rFonts w:cstheme="minorHAnsi"/>
          <w:b/>
          <w:sz w:val="26"/>
          <w:szCs w:val="26"/>
          <w:lang w:val="en-GB"/>
        </w:rPr>
        <w:t xml:space="preserve">and </w:t>
      </w:r>
    </w:p>
    <w:p w:rsidR="005A25A1" w:rsidRDefault="00B54DD5" w:rsidP="00F80E41">
      <w:pPr>
        <w:spacing w:line="276" w:lineRule="auto"/>
        <w:jc w:val="center"/>
        <w:rPr>
          <w:rFonts w:cstheme="minorHAnsi"/>
          <w:b/>
          <w:sz w:val="26"/>
          <w:szCs w:val="26"/>
          <w:lang w:val="en-GB"/>
        </w:rPr>
      </w:pPr>
      <w:r>
        <w:rPr>
          <w:rFonts w:cstheme="minorHAnsi"/>
          <w:b/>
          <w:sz w:val="26"/>
          <w:szCs w:val="26"/>
          <w:lang w:val="en-GB"/>
        </w:rPr>
        <w:t xml:space="preserve">Drug Agency of </w:t>
      </w:r>
      <w:r w:rsidR="00BB1760">
        <w:rPr>
          <w:rFonts w:cstheme="minorHAnsi"/>
          <w:b/>
          <w:sz w:val="26"/>
          <w:szCs w:val="26"/>
          <w:lang w:val="en-GB"/>
        </w:rPr>
        <w:t>Georgia</w:t>
      </w:r>
    </w:p>
    <w:p w:rsidR="00D96237" w:rsidRPr="006A5F75" w:rsidRDefault="00D96237" w:rsidP="00F80E41">
      <w:pPr>
        <w:spacing w:line="276" w:lineRule="auto"/>
        <w:jc w:val="center"/>
        <w:rPr>
          <w:rFonts w:cstheme="minorHAnsi"/>
          <w:b/>
          <w:lang w:val="en-GB"/>
        </w:rPr>
      </w:pPr>
    </w:p>
    <w:p w:rsidR="004C5295" w:rsidRPr="006A5F75" w:rsidRDefault="004C5295" w:rsidP="0008570D">
      <w:pPr>
        <w:spacing w:line="276" w:lineRule="auto"/>
        <w:jc w:val="both"/>
        <w:rPr>
          <w:rFonts w:cstheme="minorHAnsi"/>
          <w:lang w:val="en-GB"/>
        </w:rPr>
      </w:pPr>
      <w:r w:rsidRPr="006A5F75">
        <w:rPr>
          <w:rFonts w:cstheme="minorHAnsi"/>
          <w:lang w:val="en-GB"/>
        </w:rPr>
        <w:t xml:space="preserve">Chief Pharmaceutical Inspectorate (hereinafter referred to as CPI) and </w:t>
      </w:r>
      <w:r w:rsidR="00B54DD5">
        <w:rPr>
          <w:rFonts w:cstheme="minorHAnsi"/>
          <w:lang w:val="en-GB"/>
        </w:rPr>
        <w:t xml:space="preserve">Drug Agency of </w:t>
      </w:r>
      <w:r w:rsidR="00BB1760">
        <w:rPr>
          <w:rFonts w:cstheme="minorHAnsi"/>
          <w:lang w:val="en-GB"/>
        </w:rPr>
        <w:t>Georgia</w:t>
      </w:r>
      <w:r w:rsidRPr="006A5F75">
        <w:rPr>
          <w:rFonts w:cstheme="minorHAnsi"/>
          <w:lang w:val="en-GB"/>
        </w:rPr>
        <w:t>, (hereinafter referred to as the „Parties”)</w:t>
      </w:r>
    </w:p>
    <w:p w:rsidR="00D23253" w:rsidRPr="00DD0F49" w:rsidRDefault="00834975" w:rsidP="004821F6">
      <w:pPr>
        <w:spacing w:line="240" w:lineRule="auto"/>
        <w:jc w:val="both"/>
        <w:rPr>
          <w:rFonts w:cstheme="minorHAnsi"/>
          <w:b/>
          <w:lang w:val="en-GB"/>
        </w:rPr>
      </w:pPr>
      <w:r w:rsidRPr="00DD0F49">
        <w:rPr>
          <w:rFonts w:cstheme="minorHAnsi"/>
          <w:b/>
          <w:lang w:val="en-GB"/>
        </w:rPr>
        <w:t>Affirming their wish to promote cooperation between the two countries in the field of the supervision of the pharmaceutical products</w:t>
      </w:r>
      <w:r w:rsidR="00411134" w:rsidRPr="00DD0F49">
        <w:rPr>
          <w:rFonts w:cstheme="minorHAnsi"/>
          <w:b/>
          <w:lang w:val="en-GB"/>
        </w:rPr>
        <w:t xml:space="preserve">, </w:t>
      </w:r>
    </w:p>
    <w:p w:rsidR="00D23253" w:rsidRPr="00DD0F49" w:rsidRDefault="00343719" w:rsidP="004821F6">
      <w:pPr>
        <w:spacing w:line="240" w:lineRule="auto"/>
        <w:jc w:val="both"/>
        <w:rPr>
          <w:rFonts w:cstheme="minorHAnsi"/>
          <w:b/>
          <w:lang w:val="en-GB"/>
        </w:rPr>
      </w:pPr>
      <w:r w:rsidRPr="00DD0F49">
        <w:rPr>
          <w:rFonts w:cstheme="minorHAnsi"/>
          <w:b/>
          <w:lang w:val="en-GB"/>
        </w:rPr>
        <w:t xml:space="preserve">Stating their </w:t>
      </w:r>
      <w:r w:rsidR="00257C67" w:rsidRPr="00DD0F49">
        <w:rPr>
          <w:rFonts w:cstheme="minorHAnsi"/>
          <w:b/>
          <w:lang w:val="en-GB"/>
        </w:rPr>
        <w:t>commitment</w:t>
      </w:r>
      <w:r w:rsidRPr="00DD0F49">
        <w:rPr>
          <w:rFonts w:cstheme="minorHAnsi"/>
          <w:b/>
          <w:lang w:val="en-GB"/>
        </w:rPr>
        <w:t xml:space="preserve"> to </w:t>
      </w:r>
      <w:r w:rsidR="00257C67" w:rsidRPr="00DD0F49">
        <w:rPr>
          <w:rFonts w:cstheme="minorHAnsi"/>
          <w:b/>
          <w:lang w:val="en-GB"/>
        </w:rPr>
        <w:t>support</w:t>
      </w:r>
      <w:r w:rsidRPr="00DD0F49">
        <w:rPr>
          <w:rFonts w:cstheme="minorHAnsi"/>
          <w:b/>
          <w:lang w:val="en-GB"/>
        </w:rPr>
        <w:t xml:space="preserve"> joint efforts to provide efficacious and safe medicinal products to their respective populations,</w:t>
      </w:r>
      <w:r w:rsidR="00411134" w:rsidRPr="00DD0F49">
        <w:rPr>
          <w:rFonts w:cstheme="minorHAnsi"/>
          <w:b/>
          <w:lang w:val="en-GB"/>
        </w:rPr>
        <w:t xml:space="preserve"> </w:t>
      </w:r>
    </w:p>
    <w:p w:rsidR="00D23253" w:rsidRPr="00DD0F49" w:rsidRDefault="00343719" w:rsidP="004821F6">
      <w:pPr>
        <w:spacing w:line="240" w:lineRule="auto"/>
        <w:jc w:val="both"/>
        <w:rPr>
          <w:rFonts w:cstheme="minorHAnsi"/>
          <w:b/>
          <w:lang w:val="en-GB"/>
        </w:rPr>
      </w:pPr>
      <w:r w:rsidRPr="00DD0F49">
        <w:rPr>
          <w:rFonts w:cstheme="minorHAnsi"/>
          <w:b/>
          <w:lang w:val="en-GB"/>
        </w:rPr>
        <w:t xml:space="preserve">Recognising the need to </w:t>
      </w:r>
      <w:r w:rsidR="00257C67" w:rsidRPr="00DD0F49">
        <w:rPr>
          <w:rFonts w:cstheme="minorHAnsi"/>
          <w:b/>
          <w:lang w:val="en-GB"/>
        </w:rPr>
        <w:t>strengthen</w:t>
      </w:r>
      <w:r w:rsidRPr="00DD0F49">
        <w:rPr>
          <w:rFonts w:cstheme="minorHAnsi"/>
          <w:b/>
          <w:lang w:val="en-GB"/>
        </w:rPr>
        <w:t xml:space="preserve"> effective exchange of knowledge and </w:t>
      </w:r>
      <w:r w:rsidR="00257C67" w:rsidRPr="00DD0F49">
        <w:rPr>
          <w:rFonts w:cstheme="minorHAnsi"/>
          <w:b/>
          <w:lang w:val="en-GB"/>
        </w:rPr>
        <w:t>experience</w:t>
      </w:r>
      <w:r w:rsidRPr="00DD0F49">
        <w:rPr>
          <w:rFonts w:cstheme="minorHAnsi"/>
          <w:b/>
          <w:lang w:val="en-GB"/>
        </w:rPr>
        <w:t xml:space="preserve"> </w:t>
      </w:r>
      <w:r w:rsidR="00257C67" w:rsidRPr="00DD0F49">
        <w:rPr>
          <w:rFonts w:cstheme="minorHAnsi"/>
          <w:b/>
          <w:lang w:val="en-GB"/>
        </w:rPr>
        <w:t>between</w:t>
      </w:r>
      <w:r w:rsidR="00385692">
        <w:rPr>
          <w:rFonts w:cstheme="minorHAnsi"/>
          <w:b/>
          <w:lang w:val="en-GB"/>
        </w:rPr>
        <w:t xml:space="preserve"> Polish and </w:t>
      </w:r>
      <w:r w:rsidR="00BB1760">
        <w:rPr>
          <w:rFonts w:cstheme="minorHAnsi"/>
          <w:b/>
          <w:lang w:val="en-GB"/>
        </w:rPr>
        <w:t>Georgian</w:t>
      </w:r>
      <w:r w:rsidRPr="00DD0F49">
        <w:rPr>
          <w:rFonts w:cstheme="minorHAnsi"/>
          <w:b/>
          <w:lang w:val="en-GB"/>
        </w:rPr>
        <w:t xml:space="preserve"> experts</w:t>
      </w:r>
      <w:r w:rsidR="00D23253" w:rsidRPr="00DD0F49">
        <w:rPr>
          <w:rFonts w:cstheme="minorHAnsi"/>
          <w:b/>
          <w:lang w:val="en-GB"/>
        </w:rPr>
        <w:t>,</w:t>
      </w:r>
    </w:p>
    <w:p w:rsidR="00D23253" w:rsidRPr="00DD0F49" w:rsidRDefault="00834975" w:rsidP="004821F6">
      <w:pPr>
        <w:spacing w:line="240" w:lineRule="auto"/>
        <w:jc w:val="both"/>
        <w:rPr>
          <w:rFonts w:cstheme="minorHAnsi"/>
          <w:b/>
          <w:lang w:val="en-GB"/>
        </w:rPr>
      </w:pPr>
      <w:r w:rsidRPr="00DD0F49">
        <w:rPr>
          <w:rFonts w:cstheme="minorHAnsi"/>
          <w:b/>
          <w:lang w:val="en-GB"/>
        </w:rPr>
        <w:t xml:space="preserve">Sharing the objective of </w:t>
      </w:r>
      <w:r w:rsidR="00B14387" w:rsidRPr="00DD0F49">
        <w:rPr>
          <w:rFonts w:cstheme="minorHAnsi"/>
          <w:b/>
          <w:lang w:val="en-GB"/>
        </w:rPr>
        <w:t xml:space="preserve">the availability of high quality, safe </w:t>
      </w:r>
      <w:r w:rsidRPr="00DD0F49">
        <w:rPr>
          <w:rFonts w:cstheme="minorHAnsi"/>
          <w:b/>
          <w:lang w:val="en-GB"/>
        </w:rPr>
        <w:t>pharma</w:t>
      </w:r>
      <w:r w:rsidR="00BB7073" w:rsidRPr="00DD0F49">
        <w:rPr>
          <w:rFonts w:cstheme="minorHAnsi"/>
          <w:b/>
          <w:lang w:val="en-GB"/>
        </w:rPr>
        <w:t>c</w:t>
      </w:r>
      <w:r w:rsidR="00D23253" w:rsidRPr="00DD0F49">
        <w:rPr>
          <w:rFonts w:cstheme="minorHAnsi"/>
          <w:b/>
          <w:lang w:val="en-GB"/>
        </w:rPr>
        <w:t>eutical products for human use,</w:t>
      </w:r>
    </w:p>
    <w:p w:rsidR="004821F6" w:rsidRPr="00DD0F49" w:rsidRDefault="00343719" w:rsidP="004821F6">
      <w:pPr>
        <w:spacing w:line="240" w:lineRule="auto"/>
        <w:jc w:val="both"/>
        <w:rPr>
          <w:rFonts w:cstheme="minorHAnsi"/>
          <w:b/>
          <w:lang w:val="en-GB"/>
        </w:rPr>
      </w:pPr>
      <w:r w:rsidRPr="00DD0F49">
        <w:rPr>
          <w:rFonts w:cstheme="minorHAnsi"/>
          <w:b/>
          <w:lang w:val="en-GB"/>
        </w:rPr>
        <w:t>Adopt the following Cooperation Agreement</w:t>
      </w:r>
      <w:r w:rsidR="00A6445D" w:rsidRPr="00DD0F49">
        <w:rPr>
          <w:rFonts w:cstheme="minorHAnsi"/>
          <w:b/>
          <w:lang w:val="en-GB"/>
        </w:rPr>
        <w:t>:</w:t>
      </w:r>
    </w:p>
    <w:p w:rsidR="007F341D" w:rsidRPr="00411134" w:rsidRDefault="00906CFD" w:rsidP="004821F6">
      <w:pPr>
        <w:spacing w:before="240" w:line="360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t>Article 1</w:t>
      </w:r>
      <w:r w:rsidR="00411134">
        <w:rPr>
          <w:rFonts w:cstheme="minorHAnsi"/>
          <w:b/>
          <w:lang w:val="en-GB"/>
        </w:rPr>
        <w:t xml:space="preserve"> (P</w:t>
      </w:r>
      <w:r w:rsidR="00411134" w:rsidRPr="00411134">
        <w:rPr>
          <w:rFonts w:cstheme="minorHAnsi"/>
          <w:b/>
          <w:lang w:val="en-GB"/>
        </w:rPr>
        <w:t>urpose of the agreement</w:t>
      </w:r>
      <w:r w:rsidR="00411134">
        <w:rPr>
          <w:rFonts w:cstheme="minorHAnsi"/>
          <w:b/>
          <w:lang w:val="en-GB"/>
        </w:rPr>
        <w:t>)</w:t>
      </w:r>
    </w:p>
    <w:p w:rsidR="007F341D" w:rsidRPr="007B0CD3" w:rsidRDefault="007F341D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Parties share the common goal of protecting the public health in the Republic of Poland and</w:t>
      </w:r>
      <w:r w:rsidR="00D0421E" w:rsidRPr="007B0CD3">
        <w:rPr>
          <w:rFonts w:cstheme="minorHAnsi"/>
          <w:lang w:val="en-GB"/>
        </w:rPr>
        <w:t xml:space="preserve"> </w:t>
      </w:r>
      <w:r w:rsidR="007737E7">
        <w:rPr>
          <w:rFonts w:cstheme="minorHAnsi"/>
          <w:lang w:val="en-GB"/>
        </w:rPr>
        <w:t>Georgia</w:t>
      </w:r>
      <w:r w:rsidR="00D0421E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 xml:space="preserve">by ensuring the safety, quality and efficacy of the pharmaceutical products manufactured in, imported into and exported </w:t>
      </w:r>
      <w:r w:rsidR="000E67AB">
        <w:rPr>
          <w:rFonts w:cstheme="minorHAnsi"/>
          <w:lang w:val="en-GB"/>
        </w:rPr>
        <w:t>from their respective countries</w:t>
      </w:r>
    </w:p>
    <w:p w:rsidR="00E91937" w:rsidRPr="0008570D" w:rsidRDefault="00E91937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purpose of this agreement is to establish a cooperation mechanism by which </w:t>
      </w:r>
      <w:r w:rsidR="001B79DC">
        <w:rPr>
          <w:rFonts w:cstheme="minorHAnsi"/>
          <w:lang w:val="en-GB"/>
        </w:rPr>
        <w:t>the Parties</w:t>
      </w:r>
      <w:r w:rsidRPr="007B0CD3">
        <w:rPr>
          <w:rFonts w:cstheme="minorHAnsi"/>
          <w:lang w:val="en-GB"/>
        </w:rPr>
        <w:t>, according to the powers given to them by their corresponding law and regulation, facilitate the exchange of information and cooperation on</w:t>
      </w:r>
      <w:r w:rsidR="007573A3" w:rsidRPr="007573A3">
        <w:rPr>
          <w:rFonts w:ascii="inherit" w:eastAsia="Times New Roman" w:hAnsi="inherit" w:cs="Courier New"/>
          <w:color w:val="212121"/>
          <w:sz w:val="24"/>
          <w:szCs w:val="24"/>
          <w:lang w:val="en" w:eastAsia="pl-PL"/>
        </w:rPr>
        <w:t xml:space="preserve"> </w:t>
      </w:r>
      <w:r w:rsidR="007573A3" w:rsidRPr="007573A3">
        <w:rPr>
          <w:rFonts w:cstheme="minorHAnsi"/>
          <w:lang w:val="en"/>
        </w:rPr>
        <w:t>scope of activities related to supervision</w:t>
      </w:r>
      <w:r w:rsidR="007573A3" w:rsidRPr="001C13B4">
        <w:rPr>
          <w:lang w:val="en-GB"/>
        </w:rPr>
        <w:t xml:space="preserve"> </w:t>
      </w:r>
      <w:r w:rsidR="007573A3" w:rsidRPr="007573A3">
        <w:rPr>
          <w:rFonts w:cstheme="minorHAnsi"/>
          <w:lang w:val="en"/>
        </w:rPr>
        <w:t>of production and distribution</w:t>
      </w:r>
      <w:r w:rsidR="007573A3">
        <w:rPr>
          <w:rFonts w:cstheme="minorHAnsi"/>
          <w:lang w:val="en"/>
        </w:rPr>
        <w:t xml:space="preserve">, </w:t>
      </w:r>
      <w:r w:rsidR="007573A3" w:rsidRPr="007573A3">
        <w:rPr>
          <w:rFonts w:cstheme="minorHAnsi"/>
          <w:lang w:val="en"/>
        </w:rPr>
        <w:t>wholesale trade and the quality of medicinal products</w:t>
      </w:r>
    </w:p>
    <w:p w:rsidR="00906CFD" w:rsidRPr="00411134" w:rsidRDefault="00906CFD" w:rsidP="00184B1A">
      <w:pPr>
        <w:spacing w:line="360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t>Article 2 (Basic principle)</w:t>
      </w:r>
    </w:p>
    <w:p w:rsidR="00906CFD" w:rsidRPr="007B0CD3" w:rsidRDefault="00BB7073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cooperation program will include the following:</w:t>
      </w:r>
    </w:p>
    <w:p w:rsidR="00906CFD" w:rsidRPr="007B0CD3" w:rsidRDefault="00906CFD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Exchange information </w:t>
      </w:r>
      <w:r w:rsidR="00BB7073" w:rsidRPr="007B0CD3">
        <w:rPr>
          <w:rFonts w:cstheme="minorHAnsi"/>
          <w:lang w:val="en-GB"/>
        </w:rPr>
        <w:t xml:space="preserve">and </w:t>
      </w:r>
      <w:r w:rsidR="00257C67" w:rsidRPr="007B0CD3">
        <w:rPr>
          <w:rFonts w:cstheme="minorHAnsi"/>
          <w:lang w:val="en-GB"/>
        </w:rPr>
        <w:t>experience</w:t>
      </w:r>
      <w:r w:rsidR="00BB7073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>on the areas of cooperation</w:t>
      </w:r>
    </w:p>
    <w:p w:rsidR="00BB7073" w:rsidRPr="00AC36FF" w:rsidRDefault="00BB7073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proofErr w:type="spellStart"/>
      <w:r w:rsidRPr="00AC36FF">
        <w:rPr>
          <w:rFonts w:cstheme="minorHAnsi"/>
        </w:rPr>
        <w:t>Interchange</w:t>
      </w:r>
      <w:proofErr w:type="spellEnd"/>
      <w:r w:rsidRPr="00AC36FF">
        <w:rPr>
          <w:rFonts w:cstheme="minorHAnsi"/>
        </w:rPr>
        <w:t xml:space="preserve"> of </w:t>
      </w:r>
      <w:proofErr w:type="spellStart"/>
      <w:r w:rsidRPr="00AC36FF">
        <w:rPr>
          <w:rFonts w:cstheme="minorHAnsi"/>
        </w:rPr>
        <w:t>professionals</w:t>
      </w:r>
      <w:proofErr w:type="spellEnd"/>
    </w:p>
    <w:p w:rsidR="00BB7073" w:rsidRPr="007B0CD3" w:rsidRDefault="00BB7073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Organization of joint workshops, conferences, teleconferences and study visits</w:t>
      </w:r>
    </w:p>
    <w:p w:rsidR="00BB7073" w:rsidRPr="00AC36FF" w:rsidRDefault="00BB7073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AC36FF">
        <w:rPr>
          <w:rFonts w:cstheme="minorHAnsi"/>
        </w:rPr>
        <w:t xml:space="preserve">Technical </w:t>
      </w:r>
      <w:proofErr w:type="spellStart"/>
      <w:r w:rsidRPr="00AC36FF">
        <w:rPr>
          <w:rFonts w:cstheme="minorHAnsi"/>
        </w:rPr>
        <w:t>assistance</w:t>
      </w:r>
      <w:proofErr w:type="spellEnd"/>
    </w:p>
    <w:p w:rsidR="00925828" w:rsidRPr="007B0CD3" w:rsidRDefault="006B6F38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Joint inspections and yearly meetings of the Polish and </w:t>
      </w:r>
      <w:r w:rsidR="007737E7">
        <w:rPr>
          <w:rFonts w:cstheme="minorHAnsi"/>
          <w:lang w:val="en-GB"/>
        </w:rPr>
        <w:t>Georgian</w:t>
      </w:r>
      <w:r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color w:val="000000"/>
          <w:shd w:val="clear" w:color="auto" w:fill="FFFFFF"/>
          <w:lang w:val="en-GB"/>
        </w:rPr>
        <w:t>supervision and GMP inspectors</w:t>
      </w:r>
    </w:p>
    <w:p w:rsidR="009E12F6" w:rsidRPr="00AC36FF" w:rsidRDefault="009E12F6" w:rsidP="0008570D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proofErr w:type="spellStart"/>
      <w:r w:rsidRPr="00AC36FF">
        <w:rPr>
          <w:rFonts w:cstheme="minorHAnsi"/>
          <w:color w:val="000000"/>
          <w:shd w:val="clear" w:color="auto" w:fill="FFFFFF"/>
        </w:rPr>
        <w:t>Annual</w:t>
      </w:r>
      <w:proofErr w:type="spellEnd"/>
      <w:r w:rsidRPr="00AC36F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C36FF">
        <w:rPr>
          <w:rFonts w:cstheme="minorHAnsi"/>
          <w:color w:val="000000"/>
          <w:shd w:val="clear" w:color="auto" w:fill="FFFFFF"/>
        </w:rPr>
        <w:t>working-level</w:t>
      </w:r>
      <w:proofErr w:type="spellEnd"/>
      <w:r w:rsidRPr="00AC36F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C36FF">
        <w:rPr>
          <w:rFonts w:cstheme="minorHAnsi"/>
          <w:color w:val="000000"/>
          <w:shd w:val="clear" w:color="auto" w:fill="FFFFFF"/>
        </w:rPr>
        <w:t>consultation</w:t>
      </w:r>
      <w:proofErr w:type="spellEnd"/>
      <w:r w:rsidRPr="00AC36F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C36FF">
        <w:rPr>
          <w:rFonts w:cstheme="minorHAnsi"/>
          <w:color w:val="000000"/>
          <w:shd w:val="clear" w:color="auto" w:fill="FFFFFF"/>
        </w:rPr>
        <w:t>meetings</w:t>
      </w:r>
      <w:proofErr w:type="spellEnd"/>
    </w:p>
    <w:p w:rsidR="004821F6" w:rsidRDefault="00BB7073" w:rsidP="00D96237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Any other modality of coo</w:t>
      </w:r>
      <w:r w:rsidR="00B34CED">
        <w:rPr>
          <w:rFonts w:cstheme="minorHAnsi"/>
          <w:lang w:val="en-GB"/>
        </w:rPr>
        <w:t>peration agreed by the Parties</w:t>
      </w:r>
    </w:p>
    <w:p w:rsidR="007737E7" w:rsidRDefault="007737E7" w:rsidP="007737E7">
      <w:pPr>
        <w:spacing w:line="276" w:lineRule="auto"/>
        <w:jc w:val="both"/>
        <w:rPr>
          <w:rFonts w:cstheme="minorHAnsi"/>
          <w:lang w:val="en-GB"/>
        </w:rPr>
      </w:pPr>
    </w:p>
    <w:p w:rsidR="007737E7" w:rsidRPr="007737E7" w:rsidRDefault="007737E7" w:rsidP="007737E7">
      <w:pPr>
        <w:spacing w:line="276" w:lineRule="auto"/>
        <w:jc w:val="both"/>
        <w:rPr>
          <w:rFonts w:cstheme="minorHAnsi"/>
          <w:lang w:val="en-GB"/>
        </w:rPr>
      </w:pPr>
    </w:p>
    <w:p w:rsidR="00906CFD" w:rsidRPr="00411134" w:rsidRDefault="00906CFD" w:rsidP="0008570D">
      <w:pPr>
        <w:spacing w:line="276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lastRenderedPageBreak/>
        <w:t>Article 3</w:t>
      </w:r>
      <w:r w:rsidR="00BB7073" w:rsidRPr="00411134">
        <w:rPr>
          <w:rFonts w:cstheme="minorHAnsi"/>
          <w:b/>
          <w:lang w:val="en-GB"/>
        </w:rPr>
        <w:t xml:space="preserve"> (Areas of cooperation)</w:t>
      </w:r>
    </w:p>
    <w:p w:rsidR="006B6F38" w:rsidRPr="007B0CD3" w:rsidRDefault="006B6F38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Parties shall</w:t>
      </w:r>
      <w:r w:rsidR="00AC02B8">
        <w:rPr>
          <w:rFonts w:cstheme="minorHAnsi"/>
          <w:lang w:val="en-GB"/>
        </w:rPr>
        <w:t xml:space="preserve"> provide</w:t>
      </w:r>
      <w:r w:rsidRPr="007B0CD3">
        <w:rPr>
          <w:rFonts w:cstheme="minorHAnsi"/>
          <w:lang w:val="en-GB"/>
        </w:rPr>
        <w:t xml:space="preserve"> cooperation in the area of medicinal products for human use with particular focus on the following issues</w:t>
      </w:r>
      <w:r w:rsidR="00370398" w:rsidRPr="007B0CD3">
        <w:rPr>
          <w:rFonts w:cstheme="minorHAnsi"/>
          <w:lang w:val="en-GB"/>
        </w:rPr>
        <w:t>:</w:t>
      </w:r>
    </w:p>
    <w:p w:rsidR="00370398" w:rsidRPr="007B0CD3" w:rsidRDefault="00370398" w:rsidP="0008570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Mutual support in activities related to GMP inspection</w:t>
      </w:r>
    </w:p>
    <w:p w:rsidR="00370398" w:rsidRPr="007B0CD3" w:rsidRDefault="00370398" w:rsidP="0008570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Mutual sup</w:t>
      </w:r>
      <w:r w:rsidR="007573A3">
        <w:rPr>
          <w:rFonts w:cstheme="minorHAnsi"/>
          <w:lang w:val="en-GB"/>
        </w:rPr>
        <w:t>p</w:t>
      </w:r>
      <w:r w:rsidRPr="007B0CD3">
        <w:rPr>
          <w:rFonts w:cstheme="minorHAnsi"/>
          <w:lang w:val="en-GB"/>
        </w:rPr>
        <w:t>ort in activities related to the supervision of the distribution of medicinal products</w:t>
      </w:r>
    </w:p>
    <w:p w:rsidR="00370398" w:rsidRDefault="00370398" w:rsidP="0008570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Exchange of information about medicinal products shortages</w:t>
      </w:r>
    </w:p>
    <w:p w:rsidR="007573A3" w:rsidRDefault="007573A3" w:rsidP="0008570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of information about </w:t>
      </w:r>
      <w:r w:rsidRPr="007573A3">
        <w:rPr>
          <w:rFonts w:cstheme="minorHAnsi"/>
          <w:lang w:val="en-GB"/>
        </w:rPr>
        <w:t>quality defects of medicinal products</w:t>
      </w:r>
    </w:p>
    <w:p w:rsidR="007573A3" w:rsidRDefault="007573A3" w:rsidP="0008570D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of information </w:t>
      </w:r>
      <w:r w:rsidRPr="007573A3">
        <w:rPr>
          <w:rFonts w:cstheme="minorHAnsi"/>
          <w:lang w:val="en-GB"/>
        </w:rPr>
        <w:t>in the field of combating counterfeiting of medicinal products</w:t>
      </w:r>
    </w:p>
    <w:p w:rsidR="00AD648B" w:rsidRDefault="007573A3" w:rsidP="003852E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Exchange information </w:t>
      </w:r>
      <w:r w:rsidRPr="007573A3">
        <w:rPr>
          <w:rFonts w:cstheme="minorHAnsi"/>
          <w:lang w:val="en-GB"/>
        </w:rPr>
        <w:t xml:space="preserve">and </w:t>
      </w:r>
      <w:r>
        <w:rPr>
          <w:rFonts w:cstheme="minorHAnsi"/>
          <w:lang w:val="en-GB"/>
        </w:rPr>
        <w:t>mutual</w:t>
      </w:r>
      <w:r w:rsidRPr="007573A3">
        <w:rPr>
          <w:rFonts w:cstheme="minorHAnsi"/>
          <w:lang w:val="en-GB"/>
        </w:rPr>
        <w:t xml:space="preserve"> support </w:t>
      </w:r>
      <w:r>
        <w:rPr>
          <w:rFonts w:cstheme="minorHAnsi"/>
          <w:lang w:val="en-GB"/>
        </w:rPr>
        <w:t>in</w:t>
      </w:r>
      <w:r w:rsidRPr="007573A3">
        <w:rPr>
          <w:rFonts w:cstheme="minorHAnsi"/>
          <w:lang w:val="en-GB"/>
        </w:rPr>
        <w:t xml:space="preserve"> activities related to the supervision of narcotic drugs, psychotropic subst</w:t>
      </w:r>
      <w:r w:rsidR="000E67AB">
        <w:rPr>
          <w:rFonts w:cstheme="minorHAnsi"/>
          <w:lang w:val="en-GB"/>
        </w:rPr>
        <w:t>ances and category 1 precursors</w:t>
      </w:r>
      <w:r>
        <w:rPr>
          <w:rFonts w:cstheme="minorHAnsi"/>
          <w:lang w:val="en-GB"/>
        </w:rPr>
        <w:t xml:space="preserve"> </w:t>
      </w:r>
    </w:p>
    <w:p w:rsidR="003852E0" w:rsidRDefault="003852E0" w:rsidP="003852E0">
      <w:pPr>
        <w:pStyle w:val="Akapitzlist"/>
        <w:spacing w:after="0" w:line="276" w:lineRule="auto"/>
        <w:jc w:val="both"/>
        <w:rPr>
          <w:rFonts w:cstheme="minorHAnsi"/>
          <w:lang w:val="en-GB"/>
        </w:rPr>
      </w:pPr>
    </w:p>
    <w:p w:rsidR="003852E0" w:rsidRPr="00411134" w:rsidRDefault="00906CFD" w:rsidP="003852E0">
      <w:pPr>
        <w:spacing w:line="360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t>Article 4</w:t>
      </w:r>
      <w:r w:rsidR="00BF0809" w:rsidRPr="00411134">
        <w:rPr>
          <w:rFonts w:cstheme="minorHAnsi"/>
          <w:b/>
          <w:lang w:val="en-GB"/>
        </w:rPr>
        <w:t xml:space="preserve"> (Working-level Consultation Meetings)</w:t>
      </w:r>
    </w:p>
    <w:p w:rsidR="00BF0809" w:rsidRPr="007B0CD3" w:rsidRDefault="00BF0809" w:rsidP="0008570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Working-level Consultation Meeting will be held </w:t>
      </w:r>
      <w:r w:rsidR="00257C67" w:rsidRPr="007B0CD3">
        <w:rPr>
          <w:rFonts w:cstheme="minorHAnsi"/>
          <w:lang w:val="en-GB"/>
        </w:rPr>
        <w:t>annually</w:t>
      </w:r>
      <w:r w:rsidRPr="007B0CD3">
        <w:rPr>
          <w:rFonts w:cstheme="minorHAnsi"/>
          <w:lang w:val="en-GB"/>
        </w:rPr>
        <w:t xml:space="preserve">, </w:t>
      </w:r>
      <w:r w:rsidR="00257C67" w:rsidRPr="007B0CD3">
        <w:rPr>
          <w:rFonts w:cstheme="minorHAnsi"/>
          <w:lang w:val="en-GB"/>
        </w:rPr>
        <w:t>alternately</w:t>
      </w:r>
      <w:r w:rsidRPr="007B0CD3">
        <w:rPr>
          <w:rFonts w:cstheme="minorHAnsi"/>
          <w:lang w:val="en-GB"/>
        </w:rPr>
        <w:t xml:space="preserve"> in the Republic of</w:t>
      </w:r>
      <w:r w:rsidR="000E67AB">
        <w:rPr>
          <w:rFonts w:cstheme="minorHAnsi"/>
          <w:lang w:val="en-GB"/>
        </w:rPr>
        <w:t xml:space="preserve"> Poland and </w:t>
      </w:r>
      <w:r w:rsidR="007737E7">
        <w:rPr>
          <w:rFonts w:cstheme="minorHAnsi"/>
          <w:lang w:val="en-GB"/>
        </w:rPr>
        <w:t>Georgia</w:t>
      </w:r>
    </w:p>
    <w:p w:rsidR="00BF0809" w:rsidRPr="007B0CD3" w:rsidRDefault="00BF0809" w:rsidP="0008570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The composition of agenda of the Working-level Consultation Meetings will be jointly decided upo</w:t>
      </w:r>
      <w:r w:rsidR="000E67AB">
        <w:rPr>
          <w:rFonts w:cstheme="minorHAnsi"/>
          <w:lang w:val="en-GB"/>
        </w:rPr>
        <w:t>n by the Parties in advance</w:t>
      </w:r>
    </w:p>
    <w:p w:rsidR="009E12F6" w:rsidRPr="007B0CD3" w:rsidRDefault="009E12F6" w:rsidP="0008570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co-chairs head of the Working-level Consultation Meetings and representatives to carry out cooperation activities will be appointed </w:t>
      </w:r>
      <w:r w:rsidR="000E67AB">
        <w:rPr>
          <w:rFonts w:cstheme="minorHAnsi"/>
          <w:lang w:val="en-GB"/>
        </w:rPr>
        <w:t>by the heads of the two Parties</w:t>
      </w:r>
    </w:p>
    <w:p w:rsidR="00B14387" w:rsidRDefault="00BF0809" w:rsidP="0008570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Parties will </w:t>
      </w:r>
      <w:r w:rsidR="00257C67" w:rsidRPr="007B0CD3">
        <w:rPr>
          <w:rFonts w:cstheme="minorHAnsi"/>
          <w:lang w:val="en-GB"/>
        </w:rPr>
        <w:t>designate</w:t>
      </w:r>
      <w:r w:rsidRPr="007B0CD3">
        <w:rPr>
          <w:rFonts w:cstheme="minorHAnsi"/>
          <w:lang w:val="en-GB"/>
        </w:rPr>
        <w:t xml:space="preserve"> their respective contact points to ensure the efficient operation of the Wor</w:t>
      </w:r>
      <w:r w:rsidR="000E67AB">
        <w:rPr>
          <w:rFonts w:cstheme="minorHAnsi"/>
          <w:lang w:val="en-GB"/>
        </w:rPr>
        <w:t>king-level Consultation Meeting</w:t>
      </w:r>
    </w:p>
    <w:p w:rsidR="001C13B4" w:rsidRPr="001C13B4" w:rsidRDefault="001C13B4" w:rsidP="0008570D">
      <w:pPr>
        <w:pStyle w:val="Akapitzlist"/>
        <w:spacing w:line="276" w:lineRule="auto"/>
        <w:jc w:val="both"/>
        <w:rPr>
          <w:rFonts w:cstheme="minorHAnsi"/>
          <w:lang w:val="en-GB"/>
        </w:rPr>
      </w:pPr>
    </w:p>
    <w:p w:rsidR="00BB7073" w:rsidRPr="00411134" w:rsidRDefault="00BB7073" w:rsidP="0008570D">
      <w:pPr>
        <w:pStyle w:val="Akapitzlist"/>
        <w:spacing w:line="276" w:lineRule="auto"/>
        <w:jc w:val="center"/>
        <w:rPr>
          <w:rFonts w:cstheme="minorHAnsi"/>
          <w:b/>
        </w:rPr>
      </w:pPr>
      <w:proofErr w:type="spellStart"/>
      <w:r w:rsidRPr="00411134">
        <w:rPr>
          <w:rFonts w:cstheme="minorHAnsi"/>
          <w:b/>
        </w:rPr>
        <w:t>Article</w:t>
      </w:r>
      <w:proofErr w:type="spellEnd"/>
      <w:r w:rsidRPr="00411134">
        <w:rPr>
          <w:rFonts w:cstheme="minorHAnsi"/>
          <w:b/>
        </w:rPr>
        <w:t xml:space="preserve"> 5 (</w:t>
      </w:r>
      <w:r w:rsidR="00C01CBC" w:rsidRPr="00411134">
        <w:rPr>
          <w:rFonts w:cstheme="minorHAnsi"/>
          <w:b/>
        </w:rPr>
        <w:t xml:space="preserve">Financial </w:t>
      </w:r>
      <w:proofErr w:type="spellStart"/>
      <w:r w:rsidR="00C01CBC" w:rsidRPr="00411134">
        <w:rPr>
          <w:rFonts w:cstheme="minorHAnsi"/>
          <w:b/>
        </w:rPr>
        <w:t>arrangements</w:t>
      </w:r>
      <w:proofErr w:type="spellEnd"/>
      <w:r w:rsidRPr="00411134">
        <w:rPr>
          <w:rFonts w:cstheme="minorHAnsi"/>
          <w:b/>
        </w:rPr>
        <w:t>)</w:t>
      </w:r>
    </w:p>
    <w:p w:rsidR="00DA2445" w:rsidRPr="00AC36FF" w:rsidRDefault="00DA2445" w:rsidP="0008570D">
      <w:pPr>
        <w:pStyle w:val="Akapitzlist"/>
        <w:spacing w:line="276" w:lineRule="auto"/>
        <w:jc w:val="both"/>
        <w:rPr>
          <w:rFonts w:cstheme="minorHAnsi"/>
        </w:rPr>
      </w:pPr>
    </w:p>
    <w:p w:rsidR="000F28A1" w:rsidRPr="007B0CD3" w:rsidRDefault="00906CFD" w:rsidP="0008570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</w:t>
      </w:r>
      <w:r w:rsidR="00257C67" w:rsidRPr="007B0CD3">
        <w:rPr>
          <w:rFonts w:cstheme="minorHAnsi"/>
          <w:lang w:val="en-GB"/>
        </w:rPr>
        <w:t>financing</w:t>
      </w:r>
      <w:r w:rsidRPr="007B0CD3">
        <w:rPr>
          <w:rFonts w:cstheme="minorHAnsi"/>
          <w:lang w:val="en-GB"/>
        </w:rPr>
        <w:t xml:space="preserve"> of the cooperation activities developed under this instrument shall be subject to the a</w:t>
      </w:r>
      <w:r w:rsidR="00014AAB">
        <w:rPr>
          <w:rFonts w:cstheme="minorHAnsi"/>
          <w:lang w:val="en-GB"/>
        </w:rPr>
        <w:t>vailable budget of the Parties</w:t>
      </w:r>
    </w:p>
    <w:p w:rsidR="00AC36FF" w:rsidRPr="001C13B4" w:rsidRDefault="00906CFD" w:rsidP="0008570D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Each Party will bear</w:t>
      </w:r>
      <w:r w:rsidR="00925828" w:rsidRPr="007B0CD3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 xml:space="preserve">its own costs in relations to the cooperative activities under this </w:t>
      </w:r>
      <w:r w:rsidR="00DA2445" w:rsidRPr="007B0CD3">
        <w:rPr>
          <w:rFonts w:cstheme="minorHAnsi"/>
          <w:lang w:val="en-GB"/>
        </w:rPr>
        <w:t>C</w:t>
      </w:r>
      <w:r w:rsidRPr="007B0CD3">
        <w:rPr>
          <w:rFonts w:cstheme="minorHAnsi"/>
          <w:lang w:val="en-GB"/>
        </w:rPr>
        <w:t>ooperation Agreement</w:t>
      </w:r>
    </w:p>
    <w:p w:rsidR="00906CFD" w:rsidRPr="00411134" w:rsidRDefault="00906CFD" w:rsidP="00184B1A">
      <w:pPr>
        <w:spacing w:line="360" w:lineRule="auto"/>
        <w:jc w:val="center"/>
        <w:rPr>
          <w:rFonts w:cstheme="minorHAnsi"/>
          <w:b/>
        </w:rPr>
      </w:pPr>
      <w:proofErr w:type="spellStart"/>
      <w:r w:rsidRPr="00411134">
        <w:rPr>
          <w:rFonts w:cstheme="minorHAnsi"/>
          <w:b/>
        </w:rPr>
        <w:t>Article</w:t>
      </w:r>
      <w:proofErr w:type="spellEnd"/>
      <w:r w:rsidRPr="00411134">
        <w:rPr>
          <w:rFonts w:cstheme="minorHAnsi"/>
          <w:b/>
        </w:rPr>
        <w:t xml:space="preserve"> 6</w:t>
      </w:r>
      <w:r w:rsidR="00D33552" w:rsidRPr="00411134">
        <w:rPr>
          <w:rFonts w:cstheme="minorHAnsi"/>
          <w:b/>
        </w:rPr>
        <w:t xml:space="preserve"> (</w:t>
      </w:r>
      <w:proofErr w:type="spellStart"/>
      <w:r w:rsidR="00D33552" w:rsidRPr="00411134">
        <w:rPr>
          <w:rFonts w:cstheme="minorHAnsi"/>
          <w:b/>
        </w:rPr>
        <w:t>Release</w:t>
      </w:r>
      <w:proofErr w:type="spellEnd"/>
      <w:r w:rsidR="00D33552" w:rsidRPr="00411134">
        <w:rPr>
          <w:rFonts w:cstheme="minorHAnsi"/>
          <w:b/>
        </w:rPr>
        <w:t xml:space="preserve"> of </w:t>
      </w:r>
      <w:proofErr w:type="spellStart"/>
      <w:r w:rsidR="00D33552" w:rsidRPr="00411134">
        <w:rPr>
          <w:rFonts w:cstheme="minorHAnsi"/>
          <w:b/>
        </w:rPr>
        <w:t>information</w:t>
      </w:r>
      <w:proofErr w:type="spellEnd"/>
      <w:r w:rsidR="00D33552" w:rsidRPr="00411134">
        <w:rPr>
          <w:rFonts w:cstheme="minorHAnsi"/>
          <w:b/>
        </w:rPr>
        <w:t>)</w:t>
      </w:r>
    </w:p>
    <w:p w:rsidR="00D33552" w:rsidRPr="00AC36FF" w:rsidRDefault="00D33552" w:rsidP="0008570D">
      <w:pPr>
        <w:pStyle w:val="Akapitzlist"/>
        <w:widowControl w:val="0"/>
        <w:numPr>
          <w:ilvl w:val="0"/>
          <w:numId w:val="14"/>
        </w:numPr>
        <w:spacing w:after="303" w:line="276" w:lineRule="auto"/>
        <w:ind w:right="260"/>
        <w:jc w:val="both"/>
        <w:rPr>
          <w:rFonts w:eastAsia="Times New Roman" w:cstheme="minorHAnsi"/>
          <w:color w:val="000000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 xml:space="preserve">Neither Party will disclose or distribute to a third party any confidential information provided by the other Party in the process of cooperative activities under this </w:t>
      </w:r>
      <w:r w:rsidR="0019420A">
        <w:rPr>
          <w:rFonts w:eastAsia="Times New Roman" w:cstheme="minorHAnsi"/>
          <w:color w:val="000000"/>
          <w:lang w:val="en-US" w:bidi="en-US"/>
        </w:rPr>
        <w:t>Agreement</w:t>
      </w:r>
      <w:r w:rsidRPr="00AC36FF">
        <w:rPr>
          <w:rFonts w:eastAsia="Times New Roman" w:cstheme="minorHAnsi"/>
          <w:color w:val="000000"/>
          <w:lang w:val="en-US" w:bidi="en-US"/>
        </w:rPr>
        <w:t xml:space="preserve">, except as and to the extent authorized in writing </w:t>
      </w:r>
      <w:r w:rsidR="000E67AB">
        <w:rPr>
          <w:rFonts w:eastAsia="Times New Roman" w:cstheme="minorHAnsi"/>
          <w:color w:val="000000"/>
          <w:lang w:val="en-US" w:bidi="en-US"/>
        </w:rPr>
        <w:t>to do so by the providing Party</w:t>
      </w:r>
    </w:p>
    <w:p w:rsidR="00D33552" w:rsidRPr="00AC36FF" w:rsidRDefault="00D33552" w:rsidP="0008570D">
      <w:pPr>
        <w:pStyle w:val="Akapitzlist"/>
        <w:widowControl w:val="0"/>
        <w:numPr>
          <w:ilvl w:val="0"/>
          <w:numId w:val="14"/>
        </w:numPr>
        <w:spacing w:after="303" w:line="276" w:lineRule="auto"/>
        <w:ind w:right="260"/>
        <w:jc w:val="both"/>
        <w:rPr>
          <w:rFonts w:eastAsia="Times New Roman" w:cstheme="minorHAnsi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>Before either Party receives any confidential information from the other Party, the receiving Party will, if so requested by the providing Party, give the providing Party a written guarantee that it will protect the confidentiality of</w:t>
      </w:r>
      <w:r w:rsidR="000E67AB">
        <w:rPr>
          <w:rFonts w:eastAsia="Times New Roman" w:cstheme="minorHAnsi"/>
          <w:color w:val="000000"/>
          <w:lang w:val="en-US" w:bidi="en-US"/>
        </w:rPr>
        <w:t xml:space="preserve"> the information to be provided</w:t>
      </w:r>
      <w:r w:rsidRPr="00AC36FF">
        <w:rPr>
          <w:rFonts w:eastAsia="Times New Roman" w:cstheme="minorHAnsi"/>
          <w:color w:val="000000"/>
          <w:lang w:val="en-US" w:bidi="en-US"/>
        </w:rPr>
        <w:t xml:space="preserve"> </w:t>
      </w:r>
    </w:p>
    <w:p w:rsidR="00D96237" w:rsidRPr="00D96237" w:rsidRDefault="00D33552" w:rsidP="00D96237">
      <w:pPr>
        <w:pStyle w:val="Akapitzlist"/>
        <w:widowControl w:val="0"/>
        <w:numPr>
          <w:ilvl w:val="0"/>
          <w:numId w:val="14"/>
        </w:numPr>
        <w:spacing w:after="303" w:line="276" w:lineRule="auto"/>
        <w:ind w:right="260"/>
        <w:jc w:val="both"/>
        <w:rPr>
          <w:rFonts w:eastAsia="Times New Roman" w:cstheme="minorHAnsi"/>
          <w:lang w:val="en-US" w:bidi="en-US"/>
        </w:rPr>
      </w:pPr>
      <w:r w:rsidRPr="00AC36FF">
        <w:rPr>
          <w:rFonts w:eastAsia="Times New Roman" w:cstheme="minorHAnsi"/>
          <w:color w:val="000000"/>
          <w:lang w:val="en-US" w:bidi="en-US"/>
        </w:rPr>
        <w:t>Any confidential information to be exchanged between the Parties will be cle</w:t>
      </w:r>
      <w:r w:rsidR="000E67AB">
        <w:rPr>
          <w:rFonts w:eastAsia="Times New Roman" w:cstheme="minorHAnsi"/>
          <w:color w:val="000000"/>
          <w:lang w:val="en-US" w:bidi="en-US"/>
        </w:rPr>
        <w:t>arly identified as confidential</w:t>
      </w:r>
    </w:p>
    <w:p w:rsidR="00906CFD" w:rsidRPr="00411134" w:rsidRDefault="00906CFD" w:rsidP="0008570D">
      <w:pPr>
        <w:spacing w:line="276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t>Article 7</w:t>
      </w:r>
      <w:r w:rsidR="004C78E2" w:rsidRPr="00411134">
        <w:rPr>
          <w:rFonts w:cstheme="minorHAnsi"/>
          <w:b/>
          <w:lang w:val="en-GB"/>
        </w:rPr>
        <w:t xml:space="preserve"> (Contact points)</w:t>
      </w:r>
    </w:p>
    <w:p w:rsidR="000F28A1" w:rsidRPr="007B0CD3" w:rsidRDefault="004C78E2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The </w:t>
      </w:r>
      <w:r w:rsidR="00257C67" w:rsidRPr="007B0CD3">
        <w:rPr>
          <w:rFonts w:cstheme="minorHAnsi"/>
          <w:lang w:val="en-GB"/>
        </w:rPr>
        <w:t>liaison</w:t>
      </w:r>
      <w:r w:rsidRPr="007B0CD3">
        <w:rPr>
          <w:rFonts w:cstheme="minorHAnsi"/>
          <w:lang w:val="en-GB"/>
        </w:rPr>
        <w:t xml:space="preserve"> officers responsible for the administration of this Agreement are:</w:t>
      </w:r>
    </w:p>
    <w:p w:rsidR="004C78E2" w:rsidRPr="007B0CD3" w:rsidRDefault="004C78E2" w:rsidP="0008570D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For Chief </w:t>
      </w:r>
      <w:r w:rsidR="00AC36FF" w:rsidRPr="007B0CD3">
        <w:rPr>
          <w:rFonts w:cstheme="minorHAnsi"/>
          <w:lang w:val="en-GB"/>
        </w:rPr>
        <w:t>Ph</w:t>
      </w:r>
      <w:r w:rsidRPr="007B0CD3">
        <w:rPr>
          <w:rFonts w:cstheme="minorHAnsi"/>
          <w:lang w:val="en-GB"/>
        </w:rPr>
        <w:t>armaceu</w:t>
      </w:r>
      <w:r w:rsidR="00AC36FF" w:rsidRPr="007B0CD3">
        <w:rPr>
          <w:rFonts w:cstheme="minorHAnsi"/>
          <w:lang w:val="en-GB"/>
        </w:rPr>
        <w:t>tical Insp</w:t>
      </w:r>
      <w:r w:rsidRPr="007B0CD3">
        <w:rPr>
          <w:rFonts w:cstheme="minorHAnsi"/>
          <w:lang w:val="en-GB"/>
        </w:rPr>
        <w:t>ectorate, the person</w:t>
      </w:r>
      <w:r w:rsidR="00AC36FF" w:rsidRPr="007B0CD3">
        <w:rPr>
          <w:rFonts w:cstheme="minorHAnsi"/>
          <w:lang w:val="en-GB"/>
        </w:rPr>
        <w:t xml:space="preserve"> appointed by the Chief Pharmaceutical Inspector</w:t>
      </w:r>
    </w:p>
    <w:p w:rsidR="00B14387" w:rsidRPr="00F80E41" w:rsidRDefault="004C78E2" w:rsidP="00A619F7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lastRenderedPageBreak/>
        <w:t xml:space="preserve">For </w:t>
      </w:r>
      <w:r w:rsidR="007737E7">
        <w:rPr>
          <w:rFonts w:cstheme="minorHAnsi"/>
          <w:lang w:val="en-GB"/>
        </w:rPr>
        <w:t>Georgian Drug Agency</w:t>
      </w:r>
      <w:r w:rsidRPr="007B0CD3">
        <w:rPr>
          <w:rFonts w:cstheme="minorHAnsi"/>
          <w:lang w:val="en-GB"/>
        </w:rPr>
        <w:t>, the person</w:t>
      </w:r>
      <w:r w:rsidR="00771A98" w:rsidRPr="00771A98">
        <w:rPr>
          <w:lang w:val="en-GB"/>
        </w:rPr>
        <w:t xml:space="preserve"> </w:t>
      </w:r>
      <w:r w:rsidR="00771A98" w:rsidRPr="00771A98">
        <w:rPr>
          <w:rFonts w:cstheme="minorHAnsi"/>
          <w:lang w:val="en-GB"/>
        </w:rPr>
        <w:t>appointed by</w:t>
      </w:r>
      <w:r w:rsidR="00771A98">
        <w:rPr>
          <w:rFonts w:cstheme="minorHAnsi"/>
          <w:lang w:val="en-GB"/>
        </w:rPr>
        <w:t xml:space="preserve"> Director </w:t>
      </w:r>
      <w:r w:rsidR="008535D8">
        <w:rPr>
          <w:rFonts w:cstheme="minorHAnsi"/>
          <w:lang w:val="en-GB"/>
        </w:rPr>
        <w:t xml:space="preserve">of </w:t>
      </w:r>
      <w:r w:rsidR="007737E7">
        <w:rPr>
          <w:rFonts w:cstheme="minorHAnsi"/>
          <w:lang w:val="en-GB"/>
        </w:rPr>
        <w:t>Georgian Drug Agency</w:t>
      </w:r>
    </w:p>
    <w:p w:rsidR="00C01CBC" w:rsidRPr="00411134" w:rsidRDefault="00C01CBC" w:rsidP="00E84689">
      <w:pPr>
        <w:spacing w:line="360" w:lineRule="auto"/>
        <w:jc w:val="center"/>
        <w:rPr>
          <w:rFonts w:cstheme="minorHAnsi"/>
          <w:b/>
          <w:lang w:val="en-GB"/>
        </w:rPr>
      </w:pPr>
      <w:r w:rsidRPr="00411134">
        <w:rPr>
          <w:rFonts w:cstheme="minorHAnsi"/>
          <w:b/>
          <w:lang w:val="en-GB"/>
        </w:rPr>
        <w:t>Article 8 (Resolution of disputes)</w:t>
      </w:r>
    </w:p>
    <w:p w:rsidR="001C13B4" w:rsidRPr="00F80E41" w:rsidRDefault="00F96F6A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 xml:space="preserve">Any </w:t>
      </w:r>
      <w:r w:rsidR="00257C67" w:rsidRPr="007B0CD3">
        <w:rPr>
          <w:rFonts w:cstheme="minorHAnsi"/>
          <w:lang w:val="en-GB"/>
        </w:rPr>
        <w:t>d</w:t>
      </w:r>
      <w:r w:rsidR="0037783E">
        <w:rPr>
          <w:rFonts w:cstheme="minorHAnsi"/>
          <w:lang w:val="en-GB"/>
        </w:rPr>
        <w:t>isputes</w:t>
      </w:r>
      <w:r w:rsidRPr="007B0CD3">
        <w:rPr>
          <w:rFonts w:cstheme="minorHAnsi"/>
          <w:lang w:val="en-GB"/>
        </w:rPr>
        <w:t xml:space="preserve"> arising from interpretation and/or implementation of this Agreement will be resolved amicably through consultations </w:t>
      </w:r>
      <w:r w:rsidR="00257C67" w:rsidRPr="007B0CD3">
        <w:rPr>
          <w:rFonts w:cstheme="minorHAnsi"/>
          <w:lang w:val="en-GB"/>
        </w:rPr>
        <w:t>between</w:t>
      </w:r>
      <w:r w:rsidR="000E67AB">
        <w:rPr>
          <w:rFonts w:cstheme="minorHAnsi"/>
          <w:lang w:val="en-GB"/>
        </w:rPr>
        <w:t xml:space="preserve"> the Parties</w:t>
      </w:r>
    </w:p>
    <w:p w:rsidR="00A74CC0" w:rsidRPr="00411134" w:rsidRDefault="00C01CBC" w:rsidP="00E84689">
      <w:pPr>
        <w:spacing w:line="360" w:lineRule="auto"/>
        <w:jc w:val="center"/>
        <w:rPr>
          <w:rFonts w:cstheme="minorHAnsi"/>
          <w:b/>
        </w:rPr>
      </w:pPr>
      <w:proofErr w:type="spellStart"/>
      <w:r w:rsidRPr="00411134">
        <w:rPr>
          <w:rFonts w:cstheme="minorHAnsi"/>
          <w:b/>
        </w:rPr>
        <w:t>Article</w:t>
      </w:r>
      <w:proofErr w:type="spellEnd"/>
      <w:r w:rsidRPr="00411134">
        <w:rPr>
          <w:rFonts w:cstheme="minorHAnsi"/>
          <w:b/>
        </w:rPr>
        <w:t xml:space="preserve"> 9 (</w:t>
      </w:r>
      <w:proofErr w:type="spellStart"/>
      <w:r w:rsidRPr="00411134">
        <w:rPr>
          <w:rFonts w:cstheme="minorHAnsi"/>
          <w:b/>
        </w:rPr>
        <w:t>Validity</w:t>
      </w:r>
      <w:proofErr w:type="spellEnd"/>
      <w:r w:rsidRPr="00411134">
        <w:rPr>
          <w:rFonts w:cstheme="minorHAnsi"/>
          <w:b/>
        </w:rPr>
        <w:t xml:space="preserve"> and </w:t>
      </w:r>
      <w:proofErr w:type="spellStart"/>
      <w:r w:rsidRPr="00411134">
        <w:rPr>
          <w:rFonts w:cstheme="minorHAnsi"/>
          <w:b/>
        </w:rPr>
        <w:t>termination</w:t>
      </w:r>
      <w:proofErr w:type="spellEnd"/>
      <w:r w:rsidRPr="00411134">
        <w:rPr>
          <w:rFonts w:cstheme="minorHAnsi"/>
          <w:b/>
        </w:rPr>
        <w:t>)</w:t>
      </w:r>
    </w:p>
    <w:p w:rsidR="00A74CC0" w:rsidRPr="0094086E" w:rsidRDefault="00A74CC0" w:rsidP="0008570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lang w:val="en-GB"/>
        </w:rPr>
      </w:pPr>
      <w:r w:rsidRPr="0094086E">
        <w:rPr>
          <w:rFonts w:cstheme="minorHAnsi"/>
          <w:lang w:val="en-GB"/>
        </w:rPr>
        <w:t>This Agreement will come into effect on the date of its signature and will remain effective for period</w:t>
      </w:r>
      <w:r w:rsidR="004B60DD" w:rsidRPr="0094086E">
        <w:rPr>
          <w:rFonts w:cstheme="minorHAnsi"/>
          <w:lang w:val="en-GB"/>
        </w:rPr>
        <w:t xml:space="preserve"> 5 </w:t>
      </w:r>
      <w:r w:rsidRPr="0094086E">
        <w:rPr>
          <w:rFonts w:cstheme="minorHAnsi"/>
          <w:lang w:val="en-GB"/>
        </w:rPr>
        <w:t xml:space="preserve">years. It will be </w:t>
      </w:r>
      <w:r w:rsidR="00257C67" w:rsidRPr="0094086E">
        <w:rPr>
          <w:rFonts w:cstheme="minorHAnsi"/>
          <w:lang w:val="en-GB"/>
        </w:rPr>
        <w:t>automatically</w:t>
      </w:r>
      <w:r w:rsidRPr="0094086E">
        <w:rPr>
          <w:rFonts w:cstheme="minorHAnsi"/>
          <w:lang w:val="en-GB"/>
        </w:rPr>
        <w:t xml:space="preserve"> renewed for </w:t>
      </w:r>
      <w:r w:rsidR="001E3F12" w:rsidRPr="0094086E">
        <w:rPr>
          <w:rFonts w:cstheme="minorHAnsi"/>
          <w:lang w:val="en-GB"/>
        </w:rPr>
        <w:t>successive</w:t>
      </w:r>
      <w:r w:rsidRPr="0094086E">
        <w:rPr>
          <w:rFonts w:cstheme="minorHAnsi"/>
          <w:lang w:val="en-GB"/>
        </w:rPr>
        <w:t xml:space="preserve"> periods of </w:t>
      </w:r>
      <w:r w:rsidR="004B60DD" w:rsidRPr="0094086E">
        <w:rPr>
          <w:rFonts w:cstheme="minorHAnsi"/>
          <w:lang w:val="en-GB"/>
        </w:rPr>
        <w:t xml:space="preserve">5 </w:t>
      </w:r>
      <w:r w:rsidRPr="0094086E">
        <w:rPr>
          <w:rFonts w:cstheme="minorHAnsi"/>
          <w:lang w:val="en-GB"/>
        </w:rPr>
        <w:t xml:space="preserve">years, unless either Party notifies the other in </w:t>
      </w:r>
      <w:r w:rsidR="00257C67" w:rsidRPr="0094086E">
        <w:rPr>
          <w:rFonts w:cstheme="minorHAnsi"/>
          <w:lang w:val="en-GB"/>
        </w:rPr>
        <w:t>writing</w:t>
      </w:r>
      <w:r w:rsidRPr="0094086E">
        <w:rPr>
          <w:rFonts w:cstheme="minorHAnsi"/>
          <w:lang w:val="en-GB"/>
        </w:rPr>
        <w:t xml:space="preserve"> to terminate the </w:t>
      </w:r>
      <w:r w:rsidR="000E67AB" w:rsidRPr="0094086E">
        <w:rPr>
          <w:rFonts w:cstheme="minorHAnsi"/>
          <w:lang w:val="en-GB"/>
        </w:rPr>
        <w:t xml:space="preserve">agreement </w:t>
      </w:r>
      <w:r w:rsidR="004B60DD" w:rsidRPr="0094086E">
        <w:rPr>
          <w:rFonts w:cstheme="minorHAnsi"/>
          <w:lang w:val="en-GB"/>
        </w:rPr>
        <w:t xml:space="preserve">3 </w:t>
      </w:r>
      <w:r w:rsidR="000E67AB" w:rsidRPr="0094086E">
        <w:rPr>
          <w:rFonts w:cstheme="minorHAnsi"/>
          <w:lang w:val="en-GB"/>
        </w:rPr>
        <w:t>months in advance</w:t>
      </w:r>
    </w:p>
    <w:p w:rsidR="00A74CC0" w:rsidRPr="0094086E" w:rsidRDefault="00A74CC0" w:rsidP="0008570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lang w:val="en-GB"/>
        </w:rPr>
      </w:pPr>
      <w:r w:rsidRPr="0094086E">
        <w:rPr>
          <w:rFonts w:cstheme="minorHAnsi"/>
          <w:lang w:val="en-GB"/>
        </w:rPr>
        <w:t>This Agreement may be amended with the mutual</w:t>
      </w:r>
      <w:r w:rsidR="000E67AB" w:rsidRPr="0094086E">
        <w:rPr>
          <w:rFonts w:cstheme="minorHAnsi"/>
          <w:lang w:val="en-GB"/>
        </w:rPr>
        <w:t xml:space="preserve"> written consent of the Parties</w:t>
      </w:r>
    </w:p>
    <w:p w:rsidR="00AC36FF" w:rsidRPr="0094086E" w:rsidRDefault="00A74CC0" w:rsidP="0008570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lang w:val="en-GB"/>
        </w:rPr>
      </w:pPr>
      <w:r w:rsidRPr="0094086E">
        <w:rPr>
          <w:rFonts w:cstheme="minorHAnsi"/>
          <w:lang w:val="en-GB"/>
        </w:rPr>
        <w:t xml:space="preserve">The termination of this Agreement will not affect the duration or validity of any cooperation activities under this agreement which </w:t>
      </w:r>
      <w:r w:rsidR="00741E70" w:rsidRPr="0094086E">
        <w:rPr>
          <w:rFonts w:cstheme="minorHAnsi"/>
          <w:lang w:val="en-GB"/>
        </w:rPr>
        <w:t>will be</w:t>
      </w:r>
      <w:r w:rsidRPr="0094086E">
        <w:rPr>
          <w:rFonts w:cstheme="minorHAnsi"/>
          <w:lang w:val="en-GB"/>
        </w:rPr>
        <w:t xml:space="preserve"> in </w:t>
      </w:r>
      <w:r w:rsidR="00257C67" w:rsidRPr="0094086E">
        <w:rPr>
          <w:rFonts w:cstheme="minorHAnsi"/>
          <w:lang w:val="en-GB"/>
        </w:rPr>
        <w:t>progress</w:t>
      </w:r>
      <w:r w:rsidRPr="0094086E">
        <w:rPr>
          <w:rFonts w:cstheme="minorHAnsi"/>
          <w:lang w:val="en-GB"/>
        </w:rPr>
        <w:t xml:space="preserve"> at the time of the notification of the termination of this Agreement, unless otherwise</w:t>
      </w:r>
      <w:r w:rsidR="000E67AB" w:rsidRPr="0094086E">
        <w:rPr>
          <w:rFonts w:cstheme="minorHAnsi"/>
          <w:lang w:val="en-GB"/>
        </w:rPr>
        <w:t xml:space="preserve"> jointly decided by the Parties</w:t>
      </w:r>
    </w:p>
    <w:p w:rsidR="00293BEA" w:rsidRPr="000E67AB" w:rsidRDefault="00293BEA" w:rsidP="00293BEA">
      <w:pPr>
        <w:pStyle w:val="Akapitzlist"/>
        <w:spacing w:line="276" w:lineRule="auto"/>
        <w:jc w:val="both"/>
        <w:rPr>
          <w:rFonts w:cstheme="minorHAnsi"/>
          <w:lang w:val="en-GB"/>
        </w:rPr>
      </w:pPr>
    </w:p>
    <w:p w:rsidR="00444C1F" w:rsidRDefault="006F45CB" w:rsidP="0008570D">
      <w:pPr>
        <w:spacing w:line="276" w:lineRule="auto"/>
        <w:jc w:val="both"/>
        <w:rPr>
          <w:rFonts w:cstheme="minorHAnsi"/>
          <w:lang w:val="en-GB"/>
        </w:rPr>
      </w:pPr>
      <w:r w:rsidRPr="007B0CD3">
        <w:rPr>
          <w:rFonts w:cstheme="minorHAnsi"/>
          <w:lang w:val="en-GB"/>
        </w:rPr>
        <w:t>Signed in</w:t>
      </w:r>
      <w:r w:rsidR="00502425" w:rsidRPr="00502425">
        <w:rPr>
          <w:lang w:val="en-GB"/>
        </w:rPr>
        <w:t xml:space="preserve"> </w:t>
      </w:r>
      <w:r w:rsidR="007737E7">
        <w:rPr>
          <w:rFonts w:cstheme="minorHAnsi"/>
          <w:lang w:val="en-GB"/>
        </w:rPr>
        <w:t>Tbilisi</w:t>
      </w:r>
      <w:r w:rsidR="00502425" w:rsidRPr="00502425">
        <w:rPr>
          <w:rFonts w:cstheme="minorHAnsi"/>
          <w:lang w:val="en-GB"/>
        </w:rPr>
        <w:t xml:space="preserve"> </w:t>
      </w:r>
      <w:r w:rsidRPr="007B0CD3">
        <w:rPr>
          <w:rFonts w:cstheme="minorHAnsi"/>
          <w:lang w:val="en-GB"/>
        </w:rPr>
        <w:t>on the</w:t>
      </w:r>
      <w:r w:rsidR="00502425">
        <w:rPr>
          <w:rFonts w:cstheme="minorHAnsi"/>
          <w:lang w:val="en-GB"/>
        </w:rPr>
        <w:t xml:space="preserve"> </w:t>
      </w:r>
      <w:r w:rsidR="007737E7">
        <w:rPr>
          <w:rFonts w:cstheme="minorHAnsi"/>
          <w:lang w:val="en-GB"/>
        </w:rPr>
        <w:t>………………………………….</w:t>
      </w:r>
      <w:r w:rsidR="00502425">
        <w:rPr>
          <w:rFonts w:cstheme="minorHAnsi"/>
          <w:lang w:val="en-GB"/>
        </w:rPr>
        <w:t xml:space="preserve"> 2020</w:t>
      </w:r>
      <w:r w:rsidR="00E9748F">
        <w:rPr>
          <w:rFonts w:cstheme="minorHAnsi"/>
          <w:lang w:val="en-GB"/>
        </w:rPr>
        <w:t xml:space="preserve">, in </w:t>
      </w:r>
      <w:r w:rsidR="00114E79">
        <w:rPr>
          <w:rFonts w:cstheme="minorHAnsi"/>
          <w:lang w:val="en-GB"/>
        </w:rPr>
        <w:t xml:space="preserve">English, Polish and </w:t>
      </w:r>
      <w:r w:rsidR="007737E7">
        <w:rPr>
          <w:rFonts w:cstheme="minorHAnsi"/>
          <w:lang w:val="en-GB"/>
        </w:rPr>
        <w:t xml:space="preserve">Georgian </w:t>
      </w:r>
      <w:r w:rsidRPr="007B0CD3">
        <w:rPr>
          <w:rFonts w:cstheme="minorHAnsi"/>
          <w:lang w:val="en-GB"/>
        </w:rPr>
        <w:t xml:space="preserve"> language</w:t>
      </w:r>
      <w:r w:rsidR="00E9748F">
        <w:rPr>
          <w:rFonts w:cstheme="minorHAnsi"/>
          <w:lang w:val="en-GB"/>
        </w:rPr>
        <w:t>s</w:t>
      </w:r>
      <w:r w:rsidRPr="007B0CD3">
        <w:rPr>
          <w:rFonts w:cstheme="minorHAnsi"/>
          <w:lang w:val="en-GB"/>
        </w:rPr>
        <w:t>, all three texts being equally authentic. In case of a</w:t>
      </w:r>
      <w:r w:rsidR="00741E70">
        <w:rPr>
          <w:rFonts w:cstheme="minorHAnsi"/>
          <w:lang w:val="en-GB"/>
        </w:rPr>
        <w:t>ny divergence of interpretation</w:t>
      </w:r>
      <w:r w:rsidRPr="007B0CD3">
        <w:rPr>
          <w:rFonts w:cstheme="minorHAnsi"/>
          <w:lang w:val="en-GB"/>
        </w:rPr>
        <w:t>, the English text shall prevail.</w:t>
      </w:r>
    </w:p>
    <w:p w:rsidR="00ED382A" w:rsidRDefault="00ED382A" w:rsidP="003B35FB">
      <w:pPr>
        <w:spacing w:line="720" w:lineRule="auto"/>
        <w:jc w:val="both"/>
        <w:rPr>
          <w:lang w:val="en-GB"/>
        </w:rPr>
      </w:pPr>
    </w:p>
    <w:p w:rsidR="00A52A7D" w:rsidRDefault="00A52A7D" w:rsidP="003B35FB">
      <w:pPr>
        <w:spacing w:line="720" w:lineRule="auto"/>
        <w:jc w:val="both"/>
        <w:rPr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2677"/>
        <w:gridCol w:w="3116"/>
      </w:tblGrid>
      <w:tr w:rsidR="00ED382A" w:rsidRPr="00180E20" w:rsidTr="00ED382A">
        <w:tc>
          <w:tcPr>
            <w:tcW w:w="3269" w:type="dxa"/>
          </w:tcPr>
          <w:p w:rsidR="00ED382A" w:rsidRDefault="00ED382A" w:rsidP="00ED382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 behalf of The Chief Pharmaceutical Inspectorate of the Republic of Poland</w:t>
            </w:r>
          </w:p>
        </w:tc>
        <w:tc>
          <w:tcPr>
            <w:tcW w:w="2677" w:type="dxa"/>
            <w:tcBorders>
              <w:bottom w:val="nil"/>
            </w:tcBorders>
          </w:tcPr>
          <w:p w:rsidR="00ED382A" w:rsidRDefault="00ED382A" w:rsidP="00ED382A">
            <w:pPr>
              <w:jc w:val="center"/>
              <w:rPr>
                <w:lang w:val="en-GB"/>
              </w:rPr>
            </w:pPr>
          </w:p>
        </w:tc>
        <w:tc>
          <w:tcPr>
            <w:tcW w:w="3116" w:type="dxa"/>
          </w:tcPr>
          <w:p w:rsidR="00ED382A" w:rsidRDefault="00ED382A" w:rsidP="00180E2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 behalf of</w:t>
            </w:r>
            <w:r w:rsidR="00180E20">
              <w:rPr>
                <w:lang w:val="en-GB"/>
              </w:rPr>
              <w:t xml:space="preserve"> the</w:t>
            </w:r>
            <w:bookmarkStart w:id="0" w:name="_GoBack"/>
            <w:bookmarkEnd w:id="0"/>
            <w:r>
              <w:rPr>
                <w:lang w:val="en-GB"/>
              </w:rPr>
              <w:t xml:space="preserve"> </w:t>
            </w:r>
            <w:r w:rsidR="007737E7">
              <w:rPr>
                <w:lang w:val="en-GB"/>
              </w:rPr>
              <w:t>Drug Agency</w:t>
            </w:r>
            <w:r w:rsidR="00952516" w:rsidRPr="00952516">
              <w:rPr>
                <w:lang w:val="en-GB"/>
              </w:rPr>
              <w:t xml:space="preserve"> of </w:t>
            </w:r>
            <w:r w:rsidR="00180E20">
              <w:rPr>
                <w:lang w:val="en-GB"/>
              </w:rPr>
              <w:t>G</w:t>
            </w:r>
            <w:r w:rsidR="007737E7">
              <w:rPr>
                <w:lang w:val="en-GB"/>
              </w:rPr>
              <w:t>eorgia</w:t>
            </w:r>
          </w:p>
        </w:tc>
      </w:tr>
      <w:tr w:rsidR="00ED382A" w:rsidRPr="00180E20" w:rsidTr="00ED382A">
        <w:trPr>
          <w:trHeight w:val="1985"/>
        </w:trPr>
        <w:tc>
          <w:tcPr>
            <w:tcW w:w="3269" w:type="dxa"/>
          </w:tcPr>
          <w:p w:rsidR="00ED382A" w:rsidRDefault="00ED382A" w:rsidP="00ED382A">
            <w:pPr>
              <w:spacing w:line="720" w:lineRule="auto"/>
              <w:jc w:val="both"/>
              <w:rPr>
                <w:lang w:val="en-GB"/>
              </w:rPr>
            </w:pPr>
          </w:p>
        </w:tc>
        <w:tc>
          <w:tcPr>
            <w:tcW w:w="2677" w:type="dxa"/>
            <w:tcBorders>
              <w:bottom w:val="nil"/>
            </w:tcBorders>
          </w:tcPr>
          <w:p w:rsidR="00ED382A" w:rsidRDefault="00ED382A" w:rsidP="00ED382A">
            <w:pPr>
              <w:spacing w:line="720" w:lineRule="auto"/>
              <w:jc w:val="both"/>
              <w:rPr>
                <w:lang w:val="en-GB"/>
              </w:rPr>
            </w:pPr>
          </w:p>
        </w:tc>
        <w:tc>
          <w:tcPr>
            <w:tcW w:w="3116" w:type="dxa"/>
          </w:tcPr>
          <w:p w:rsidR="00ED382A" w:rsidRDefault="00ED382A" w:rsidP="00ED382A">
            <w:pPr>
              <w:spacing w:line="720" w:lineRule="auto"/>
              <w:jc w:val="both"/>
              <w:rPr>
                <w:lang w:val="en-GB"/>
              </w:rPr>
            </w:pPr>
          </w:p>
        </w:tc>
      </w:tr>
    </w:tbl>
    <w:p w:rsidR="00ED382A" w:rsidRDefault="00ED382A" w:rsidP="00ED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jc w:val="both"/>
        <w:rPr>
          <w:lang w:val="en-GB"/>
        </w:rPr>
        <w:sectPr w:rsidR="00ED382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6237" w:rsidRDefault="00D96237" w:rsidP="00896BC3">
      <w:pPr>
        <w:spacing w:after="0" w:line="276" w:lineRule="auto"/>
        <w:jc w:val="both"/>
        <w:rPr>
          <w:lang w:val="en-GB"/>
        </w:rPr>
      </w:pPr>
    </w:p>
    <w:sectPr w:rsidR="00D96237" w:rsidSect="009D392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74" w:rsidRDefault="00531774" w:rsidP="001D7354">
      <w:pPr>
        <w:spacing w:after="0" w:line="240" w:lineRule="auto"/>
      </w:pPr>
      <w:r>
        <w:separator/>
      </w:r>
    </w:p>
  </w:endnote>
  <w:endnote w:type="continuationSeparator" w:id="0">
    <w:p w:rsidR="00531774" w:rsidRDefault="00531774" w:rsidP="001D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606690"/>
      <w:docPartObj>
        <w:docPartGallery w:val="Page Numbers (Bottom of Page)"/>
        <w:docPartUnique/>
      </w:docPartObj>
    </w:sdtPr>
    <w:sdtEndPr/>
    <w:sdtContent>
      <w:p w:rsidR="001D7354" w:rsidRDefault="001D73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20">
          <w:rPr>
            <w:noProof/>
          </w:rPr>
          <w:t>3</w:t>
        </w:r>
        <w:r>
          <w:fldChar w:fldCharType="end"/>
        </w:r>
      </w:p>
    </w:sdtContent>
  </w:sdt>
  <w:p w:rsidR="001D7354" w:rsidRDefault="001D73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74" w:rsidRDefault="00531774" w:rsidP="001D7354">
      <w:pPr>
        <w:spacing w:after="0" w:line="240" w:lineRule="auto"/>
      </w:pPr>
      <w:r>
        <w:separator/>
      </w:r>
    </w:p>
  </w:footnote>
  <w:footnote w:type="continuationSeparator" w:id="0">
    <w:p w:rsidR="00531774" w:rsidRDefault="00531774" w:rsidP="001D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0D9"/>
    <w:multiLevelType w:val="hybridMultilevel"/>
    <w:tmpl w:val="CD16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5D3D"/>
    <w:multiLevelType w:val="hybridMultilevel"/>
    <w:tmpl w:val="B658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8BF"/>
    <w:multiLevelType w:val="hybridMultilevel"/>
    <w:tmpl w:val="9276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F84"/>
    <w:multiLevelType w:val="hybridMultilevel"/>
    <w:tmpl w:val="A53A2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D44F2"/>
    <w:multiLevelType w:val="hybridMultilevel"/>
    <w:tmpl w:val="026E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3211"/>
    <w:multiLevelType w:val="hybridMultilevel"/>
    <w:tmpl w:val="962A3962"/>
    <w:lvl w:ilvl="0" w:tplc="A6FCAD5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2F06644"/>
    <w:multiLevelType w:val="hybridMultilevel"/>
    <w:tmpl w:val="3070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62C2"/>
    <w:multiLevelType w:val="hybridMultilevel"/>
    <w:tmpl w:val="3BBE7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64"/>
    <w:multiLevelType w:val="hybridMultilevel"/>
    <w:tmpl w:val="3114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F7A05"/>
    <w:multiLevelType w:val="hybridMultilevel"/>
    <w:tmpl w:val="B574C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6F7D"/>
    <w:multiLevelType w:val="hybridMultilevel"/>
    <w:tmpl w:val="333CE3F2"/>
    <w:lvl w:ilvl="0" w:tplc="8870C6D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B4E132E"/>
    <w:multiLevelType w:val="hybridMultilevel"/>
    <w:tmpl w:val="D180B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71604"/>
    <w:multiLevelType w:val="hybridMultilevel"/>
    <w:tmpl w:val="6E6CA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012DD"/>
    <w:multiLevelType w:val="hybridMultilevel"/>
    <w:tmpl w:val="8556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553EC"/>
    <w:multiLevelType w:val="multilevel"/>
    <w:tmpl w:val="8452C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C87624"/>
    <w:multiLevelType w:val="hybridMultilevel"/>
    <w:tmpl w:val="6272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5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5"/>
    <w:rsid w:val="000036D1"/>
    <w:rsid w:val="00014AAB"/>
    <w:rsid w:val="00080F1A"/>
    <w:rsid w:val="00081EC0"/>
    <w:rsid w:val="0008570D"/>
    <w:rsid w:val="000C604A"/>
    <w:rsid w:val="000E67AB"/>
    <w:rsid w:val="000F28A1"/>
    <w:rsid w:val="00114E79"/>
    <w:rsid w:val="00140876"/>
    <w:rsid w:val="00145AF4"/>
    <w:rsid w:val="00180E20"/>
    <w:rsid w:val="00184B1A"/>
    <w:rsid w:val="0019420A"/>
    <w:rsid w:val="001B79DC"/>
    <w:rsid w:val="001C13B4"/>
    <w:rsid w:val="001D7354"/>
    <w:rsid w:val="001E3F12"/>
    <w:rsid w:val="00215522"/>
    <w:rsid w:val="00257C67"/>
    <w:rsid w:val="00293BEA"/>
    <w:rsid w:val="00313347"/>
    <w:rsid w:val="0032453B"/>
    <w:rsid w:val="00343719"/>
    <w:rsid w:val="00370398"/>
    <w:rsid w:val="0037783E"/>
    <w:rsid w:val="003852E0"/>
    <w:rsid w:val="00385692"/>
    <w:rsid w:val="003B35FB"/>
    <w:rsid w:val="00410279"/>
    <w:rsid w:val="00411134"/>
    <w:rsid w:val="00431F6C"/>
    <w:rsid w:val="00444C1F"/>
    <w:rsid w:val="004821F6"/>
    <w:rsid w:val="004B38A7"/>
    <w:rsid w:val="004B60DD"/>
    <w:rsid w:val="004C5295"/>
    <w:rsid w:val="004C78E2"/>
    <w:rsid w:val="00502425"/>
    <w:rsid w:val="00531774"/>
    <w:rsid w:val="005A25A1"/>
    <w:rsid w:val="005D1547"/>
    <w:rsid w:val="006A5F75"/>
    <w:rsid w:val="006B6F38"/>
    <w:rsid w:val="006C345F"/>
    <w:rsid w:val="006F202E"/>
    <w:rsid w:val="006F45CB"/>
    <w:rsid w:val="00741E70"/>
    <w:rsid w:val="00747EA0"/>
    <w:rsid w:val="007573A3"/>
    <w:rsid w:val="00771A98"/>
    <w:rsid w:val="007737E7"/>
    <w:rsid w:val="00785ACC"/>
    <w:rsid w:val="00791135"/>
    <w:rsid w:val="007B0CD3"/>
    <w:rsid w:val="007C0F48"/>
    <w:rsid w:val="007F341D"/>
    <w:rsid w:val="00803634"/>
    <w:rsid w:val="00834975"/>
    <w:rsid w:val="00835211"/>
    <w:rsid w:val="008535D8"/>
    <w:rsid w:val="00894636"/>
    <w:rsid w:val="00896BC3"/>
    <w:rsid w:val="008F4E87"/>
    <w:rsid w:val="00906CFD"/>
    <w:rsid w:val="00925828"/>
    <w:rsid w:val="0094086E"/>
    <w:rsid w:val="00952516"/>
    <w:rsid w:val="00963B79"/>
    <w:rsid w:val="00972941"/>
    <w:rsid w:val="0098118D"/>
    <w:rsid w:val="009D3926"/>
    <w:rsid w:val="009E12F6"/>
    <w:rsid w:val="009F7A38"/>
    <w:rsid w:val="00A4619A"/>
    <w:rsid w:val="00A52A7D"/>
    <w:rsid w:val="00A619F7"/>
    <w:rsid w:val="00A6445D"/>
    <w:rsid w:val="00A74CC0"/>
    <w:rsid w:val="00A82925"/>
    <w:rsid w:val="00AA5EC2"/>
    <w:rsid w:val="00AC02B8"/>
    <w:rsid w:val="00AC36FF"/>
    <w:rsid w:val="00AD648B"/>
    <w:rsid w:val="00B14387"/>
    <w:rsid w:val="00B34CED"/>
    <w:rsid w:val="00B45934"/>
    <w:rsid w:val="00B549E1"/>
    <w:rsid w:val="00B54DD5"/>
    <w:rsid w:val="00B61F0C"/>
    <w:rsid w:val="00BB1760"/>
    <w:rsid w:val="00BB7073"/>
    <w:rsid w:val="00BC6524"/>
    <w:rsid w:val="00BF0809"/>
    <w:rsid w:val="00BF1ED8"/>
    <w:rsid w:val="00C01CBC"/>
    <w:rsid w:val="00C4333A"/>
    <w:rsid w:val="00CD2F8C"/>
    <w:rsid w:val="00D0421E"/>
    <w:rsid w:val="00D23253"/>
    <w:rsid w:val="00D33552"/>
    <w:rsid w:val="00D41D17"/>
    <w:rsid w:val="00D619AC"/>
    <w:rsid w:val="00D73121"/>
    <w:rsid w:val="00D96237"/>
    <w:rsid w:val="00DA2445"/>
    <w:rsid w:val="00DB15E1"/>
    <w:rsid w:val="00DD0F49"/>
    <w:rsid w:val="00DE02E1"/>
    <w:rsid w:val="00E0393F"/>
    <w:rsid w:val="00E84689"/>
    <w:rsid w:val="00E91937"/>
    <w:rsid w:val="00E9748F"/>
    <w:rsid w:val="00ED382A"/>
    <w:rsid w:val="00EE672F"/>
    <w:rsid w:val="00EF5A1B"/>
    <w:rsid w:val="00F4035F"/>
    <w:rsid w:val="00F62E7F"/>
    <w:rsid w:val="00F7008C"/>
    <w:rsid w:val="00F75FBA"/>
    <w:rsid w:val="00F80E41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742B8-34D8-4598-B31E-9144B3E6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1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0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08C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73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73A3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9D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354"/>
  </w:style>
  <w:style w:type="paragraph" w:styleId="Stopka">
    <w:name w:val="footer"/>
    <w:basedOn w:val="Normalny"/>
    <w:link w:val="StopkaZnak"/>
    <w:uiPriority w:val="99"/>
    <w:unhideWhenUsed/>
    <w:rsid w:val="001D7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5C8F-A4F9-43E5-A751-06B66558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Parzyszek</dc:creator>
  <cp:keywords/>
  <dc:description/>
  <cp:lastModifiedBy>Monika Parzyszek</cp:lastModifiedBy>
  <cp:revision>74</cp:revision>
  <cp:lastPrinted>2020-01-09T11:28:00Z</cp:lastPrinted>
  <dcterms:created xsi:type="dcterms:W3CDTF">2019-05-13T11:12:00Z</dcterms:created>
  <dcterms:modified xsi:type="dcterms:W3CDTF">2020-01-21T10:35:00Z</dcterms:modified>
</cp:coreProperties>
</file>